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5D7B" w14:textId="77777777" w:rsidR="00801199" w:rsidRDefault="00CA7EAD">
      <w:pPr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《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认知实习</w:t>
      </w: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》教学大纲</w:t>
      </w:r>
    </w:p>
    <w:p w14:paraId="42292933" w14:textId="77777777" w:rsidR="00801199" w:rsidRDefault="00801199">
      <w:pPr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14:paraId="401E6A8F" w14:textId="77777777" w:rsidR="00801199" w:rsidRDefault="00CA7EAD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一、课程基本信息</w:t>
      </w:r>
    </w:p>
    <w:tbl>
      <w:tblPr>
        <w:tblStyle w:val="a9"/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1479"/>
        <w:gridCol w:w="1211"/>
        <w:gridCol w:w="1559"/>
        <w:gridCol w:w="1605"/>
        <w:gridCol w:w="1514"/>
      </w:tblGrid>
      <w:tr w:rsidR="00801199" w14:paraId="5FF92EBC" w14:textId="77777777">
        <w:trPr>
          <w:trHeight w:val="354"/>
        </w:trPr>
        <w:tc>
          <w:tcPr>
            <w:tcW w:w="1421" w:type="dxa"/>
            <w:vAlign w:val="center"/>
          </w:tcPr>
          <w:p w14:paraId="69EAD267" w14:textId="77777777" w:rsidR="00801199" w:rsidRDefault="00CA7EAD"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课程类别</w:t>
            </w:r>
          </w:p>
        </w:tc>
        <w:tc>
          <w:tcPr>
            <w:tcW w:w="1479" w:type="dxa"/>
            <w:vAlign w:val="center"/>
          </w:tcPr>
          <w:p w14:paraId="7096AD2E" w14:textId="6E1F43DC" w:rsidR="00801199" w:rsidRDefault="00351A95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学科基础</w:t>
            </w:r>
            <w:r w:rsidR="00CA7EAD">
              <w:rPr>
                <w:rFonts w:cs="Times New Roman" w:hint="eastAsia"/>
                <w:color w:val="000000" w:themeColor="text1"/>
                <w:sz w:val="21"/>
                <w:szCs w:val="21"/>
              </w:rPr>
              <w:t>课程</w:t>
            </w:r>
          </w:p>
        </w:tc>
        <w:tc>
          <w:tcPr>
            <w:tcW w:w="1211" w:type="dxa"/>
            <w:vAlign w:val="center"/>
          </w:tcPr>
          <w:p w14:paraId="5F7EAFE6" w14:textId="77777777" w:rsidR="00801199" w:rsidRDefault="00CA7EAD"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课程性质</w:t>
            </w:r>
          </w:p>
        </w:tc>
        <w:tc>
          <w:tcPr>
            <w:tcW w:w="1559" w:type="dxa"/>
            <w:vAlign w:val="center"/>
          </w:tcPr>
          <w:p w14:paraId="1A2F03DE" w14:textId="6455CC19" w:rsidR="00801199" w:rsidRDefault="00F2669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实践</w:t>
            </w:r>
          </w:p>
        </w:tc>
        <w:tc>
          <w:tcPr>
            <w:tcW w:w="1605" w:type="dxa"/>
            <w:vAlign w:val="center"/>
          </w:tcPr>
          <w:p w14:paraId="18B4120D" w14:textId="77777777" w:rsidR="00801199" w:rsidRDefault="00CA7EAD">
            <w:pPr>
              <w:jc w:val="center"/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课程属性</w:t>
            </w:r>
          </w:p>
        </w:tc>
        <w:tc>
          <w:tcPr>
            <w:tcW w:w="1514" w:type="dxa"/>
            <w:vAlign w:val="center"/>
          </w:tcPr>
          <w:p w14:paraId="4F252B41" w14:textId="4A83CB40" w:rsidR="00801199" w:rsidRDefault="00F2669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必修</w:t>
            </w:r>
          </w:p>
        </w:tc>
      </w:tr>
      <w:tr w:rsidR="00801199" w14:paraId="6D5076D0" w14:textId="77777777">
        <w:trPr>
          <w:trHeight w:val="371"/>
        </w:trPr>
        <w:tc>
          <w:tcPr>
            <w:tcW w:w="1421" w:type="dxa"/>
            <w:vAlign w:val="center"/>
          </w:tcPr>
          <w:p w14:paraId="7582BF21" w14:textId="77777777" w:rsidR="00801199" w:rsidRDefault="00CA7EAD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课程名称</w:t>
            </w:r>
          </w:p>
        </w:tc>
        <w:tc>
          <w:tcPr>
            <w:tcW w:w="2690" w:type="dxa"/>
            <w:gridSpan w:val="2"/>
            <w:vAlign w:val="center"/>
          </w:tcPr>
          <w:p w14:paraId="33EB5737" w14:textId="77777777" w:rsidR="00801199" w:rsidRDefault="00CA7EAD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认知实习</w:t>
            </w:r>
          </w:p>
        </w:tc>
        <w:tc>
          <w:tcPr>
            <w:tcW w:w="1559" w:type="dxa"/>
            <w:vAlign w:val="center"/>
          </w:tcPr>
          <w:p w14:paraId="667DA721" w14:textId="77777777" w:rsidR="00801199" w:rsidRDefault="00CA7EAD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课程英文名称</w:t>
            </w:r>
          </w:p>
        </w:tc>
        <w:tc>
          <w:tcPr>
            <w:tcW w:w="3119" w:type="dxa"/>
            <w:gridSpan w:val="2"/>
            <w:vAlign w:val="center"/>
          </w:tcPr>
          <w:p w14:paraId="7D818822" w14:textId="77777777" w:rsidR="00801199" w:rsidRDefault="00CA7EAD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/>
                <w:color w:val="000000" w:themeColor="text1"/>
                <w:sz w:val="21"/>
                <w:szCs w:val="21"/>
              </w:rPr>
              <w:t>Cognition Practice</w:t>
            </w:r>
          </w:p>
        </w:tc>
      </w:tr>
      <w:tr w:rsidR="00801199" w14:paraId="63CE6E33" w14:textId="77777777">
        <w:trPr>
          <w:trHeight w:val="371"/>
        </w:trPr>
        <w:tc>
          <w:tcPr>
            <w:tcW w:w="1421" w:type="dxa"/>
            <w:vAlign w:val="center"/>
          </w:tcPr>
          <w:p w14:paraId="42EAEA25" w14:textId="77777777" w:rsidR="00801199" w:rsidRDefault="00CA7EAD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课程编码</w:t>
            </w:r>
          </w:p>
        </w:tc>
        <w:tc>
          <w:tcPr>
            <w:tcW w:w="2690" w:type="dxa"/>
            <w:gridSpan w:val="2"/>
            <w:vAlign w:val="center"/>
          </w:tcPr>
          <w:p w14:paraId="49256C86" w14:textId="77777777" w:rsidR="00801199" w:rsidRDefault="00CA7EAD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F</w:t>
            </w:r>
            <w:r>
              <w:rPr>
                <w:rFonts w:cs="PMingLiU"/>
                <w:color w:val="000000" w:themeColor="text1"/>
                <w:sz w:val="21"/>
                <w:szCs w:val="21"/>
              </w:rPr>
              <w:t>10X</w:t>
            </w: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B</w:t>
            </w:r>
            <w:r>
              <w:rPr>
                <w:rFonts w:cs="PMingLiU"/>
                <w:color w:val="000000" w:themeColor="text1"/>
                <w:sz w:val="21"/>
                <w:szCs w:val="21"/>
              </w:rPr>
              <w:t>02Z</w:t>
            </w:r>
          </w:p>
        </w:tc>
        <w:tc>
          <w:tcPr>
            <w:tcW w:w="1559" w:type="dxa"/>
            <w:vAlign w:val="center"/>
          </w:tcPr>
          <w:p w14:paraId="3BC13DC7" w14:textId="77777777" w:rsidR="00801199" w:rsidRDefault="00CA7EAD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适用专业</w:t>
            </w:r>
          </w:p>
        </w:tc>
        <w:tc>
          <w:tcPr>
            <w:tcW w:w="3119" w:type="dxa"/>
            <w:gridSpan w:val="2"/>
            <w:vAlign w:val="center"/>
          </w:tcPr>
          <w:p w14:paraId="7F6BC0BF" w14:textId="77777777" w:rsidR="00801199" w:rsidRDefault="00CA7EAD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电子信息工程</w:t>
            </w:r>
          </w:p>
        </w:tc>
      </w:tr>
      <w:tr w:rsidR="00801199" w14:paraId="561DC981" w14:textId="77777777">
        <w:trPr>
          <w:trHeight w:val="90"/>
        </w:trPr>
        <w:tc>
          <w:tcPr>
            <w:tcW w:w="1421" w:type="dxa"/>
            <w:vAlign w:val="center"/>
          </w:tcPr>
          <w:p w14:paraId="01667C76" w14:textId="77777777" w:rsidR="00801199" w:rsidRDefault="00CA7EAD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考核方式</w:t>
            </w:r>
          </w:p>
        </w:tc>
        <w:tc>
          <w:tcPr>
            <w:tcW w:w="2690" w:type="dxa"/>
            <w:gridSpan w:val="2"/>
            <w:vAlign w:val="center"/>
          </w:tcPr>
          <w:p w14:paraId="53C17DDA" w14:textId="77777777" w:rsidR="00801199" w:rsidRDefault="00CA7EAD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考查</w:t>
            </w:r>
          </w:p>
        </w:tc>
        <w:tc>
          <w:tcPr>
            <w:tcW w:w="1559" w:type="dxa"/>
            <w:vAlign w:val="center"/>
          </w:tcPr>
          <w:p w14:paraId="4105FCDF" w14:textId="77777777" w:rsidR="00801199" w:rsidRDefault="00CA7EAD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先修课程</w:t>
            </w:r>
          </w:p>
        </w:tc>
        <w:tc>
          <w:tcPr>
            <w:tcW w:w="3119" w:type="dxa"/>
            <w:gridSpan w:val="2"/>
            <w:vAlign w:val="center"/>
          </w:tcPr>
          <w:p w14:paraId="1DC2D2CD" w14:textId="77777777" w:rsidR="00801199" w:rsidRDefault="00CA7EAD">
            <w:pPr>
              <w:spacing w:line="280" w:lineRule="exact"/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电子信息工程导论</w:t>
            </w:r>
          </w:p>
        </w:tc>
      </w:tr>
      <w:tr w:rsidR="00801199" w14:paraId="16E8118E" w14:textId="77777777">
        <w:trPr>
          <w:trHeight w:val="358"/>
        </w:trPr>
        <w:tc>
          <w:tcPr>
            <w:tcW w:w="1421" w:type="dxa"/>
            <w:vAlign w:val="center"/>
          </w:tcPr>
          <w:p w14:paraId="4FC83B32" w14:textId="77777777" w:rsidR="00801199" w:rsidRDefault="00CA7EAD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总学时</w:t>
            </w:r>
          </w:p>
        </w:tc>
        <w:tc>
          <w:tcPr>
            <w:tcW w:w="2690" w:type="dxa"/>
            <w:gridSpan w:val="2"/>
            <w:vAlign w:val="center"/>
          </w:tcPr>
          <w:p w14:paraId="4F93C521" w14:textId="53B3729A" w:rsidR="00801199" w:rsidRDefault="001566B9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/>
                <w:color w:val="000000" w:themeColor="text1"/>
                <w:sz w:val="21"/>
                <w:szCs w:val="21"/>
              </w:rPr>
              <w:t>0.5</w:t>
            </w: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周</w:t>
            </w:r>
          </w:p>
        </w:tc>
        <w:tc>
          <w:tcPr>
            <w:tcW w:w="1559" w:type="dxa"/>
            <w:vAlign w:val="center"/>
          </w:tcPr>
          <w:p w14:paraId="72FE6644" w14:textId="77777777" w:rsidR="00801199" w:rsidRDefault="00CA7EAD">
            <w:pPr>
              <w:jc w:val="center"/>
              <w:rPr>
                <w:rFonts w:cs="PMingLiU"/>
                <w:b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color w:val="000000" w:themeColor="text1"/>
                <w:sz w:val="21"/>
                <w:szCs w:val="21"/>
              </w:rPr>
              <w:t>学分</w:t>
            </w:r>
          </w:p>
        </w:tc>
        <w:tc>
          <w:tcPr>
            <w:tcW w:w="3119" w:type="dxa"/>
            <w:gridSpan w:val="2"/>
            <w:vAlign w:val="center"/>
          </w:tcPr>
          <w:p w14:paraId="24A63265" w14:textId="77777777" w:rsidR="00801199" w:rsidRDefault="00CA7EAD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/>
                <w:color w:val="000000" w:themeColor="text1"/>
                <w:sz w:val="21"/>
                <w:szCs w:val="21"/>
              </w:rPr>
              <w:t>0.5</w:t>
            </w:r>
          </w:p>
        </w:tc>
      </w:tr>
      <w:tr w:rsidR="00801199" w14:paraId="2D70837C" w14:textId="77777777">
        <w:trPr>
          <w:trHeight w:val="358"/>
        </w:trPr>
        <w:tc>
          <w:tcPr>
            <w:tcW w:w="4111" w:type="dxa"/>
            <w:gridSpan w:val="3"/>
            <w:vAlign w:val="center"/>
          </w:tcPr>
          <w:p w14:paraId="5FF6254A" w14:textId="77777777" w:rsidR="00801199" w:rsidRDefault="00CA7EAD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b/>
                <w:bCs/>
                <w:color w:val="000000" w:themeColor="text1"/>
                <w:sz w:val="21"/>
                <w:szCs w:val="21"/>
              </w:rPr>
              <w:t>开课单位</w:t>
            </w:r>
          </w:p>
        </w:tc>
        <w:tc>
          <w:tcPr>
            <w:tcW w:w="4678" w:type="dxa"/>
            <w:gridSpan w:val="3"/>
            <w:vAlign w:val="center"/>
          </w:tcPr>
          <w:p w14:paraId="01016446" w14:textId="77777777" w:rsidR="00801199" w:rsidRDefault="00CA7EAD">
            <w:pPr>
              <w:jc w:val="center"/>
              <w:rPr>
                <w:rFonts w:cs="PMingLiU"/>
                <w:color w:val="000000" w:themeColor="text1"/>
                <w:sz w:val="21"/>
                <w:szCs w:val="21"/>
              </w:rPr>
            </w:pPr>
            <w:r>
              <w:rPr>
                <w:rFonts w:cs="PMingLiU" w:hint="eastAsia"/>
                <w:color w:val="000000" w:themeColor="text1"/>
                <w:sz w:val="21"/>
                <w:szCs w:val="21"/>
              </w:rPr>
              <w:t>智能制造学院</w:t>
            </w:r>
          </w:p>
        </w:tc>
      </w:tr>
    </w:tbl>
    <w:p w14:paraId="5070EC69" w14:textId="77777777" w:rsidR="00801199" w:rsidRDefault="00801199">
      <w:pPr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172A5E9D" w14:textId="77777777" w:rsidR="00801199" w:rsidRDefault="00CA7EAD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二、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课程简介</w:t>
      </w:r>
    </w:p>
    <w:p w14:paraId="4F7C5C64" w14:textId="5E0407BF" w:rsidR="00801199" w:rsidRDefault="00CA7EAD">
      <w:pPr>
        <w:spacing w:line="360" w:lineRule="auto"/>
        <w:ind w:firstLineChars="196" w:firstLine="412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《认知实习》是电子信息工程专业培养计划中的学科基础必修课程，是以理论联系实际，以实践知识和感性认识来巩固课堂知识的重要教学过程。通过认识实习，能够使学生加深对理论知识的理解，了解电子信息工程行业前景，了解电子信息概况、传感与信息处理、计算机技术的基本设计和应用，提高对电子信息技术在企业管理及生产过程中应用的重要性的认识，学习各类电子设备、传感器和信息系统的设计、应用和开发，从而培养学生分析与解决问题的能力、初步形成个人职业规划</w:t>
      </w:r>
      <w:r>
        <w:rPr>
          <w:color w:val="000000"/>
          <w:sz w:val="21"/>
          <w:szCs w:val="21"/>
        </w:rPr>
        <w:t>。</w:t>
      </w:r>
    </w:p>
    <w:p w14:paraId="5BAA232B" w14:textId="77777777" w:rsidR="00A46F39" w:rsidRDefault="00A46F39">
      <w:pPr>
        <w:spacing w:line="360" w:lineRule="auto"/>
        <w:ind w:firstLineChars="196" w:firstLine="412"/>
        <w:jc w:val="both"/>
        <w:rPr>
          <w:color w:val="000000"/>
          <w:sz w:val="21"/>
          <w:szCs w:val="21"/>
        </w:rPr>
      </w:pPr>
    </w:p>
    <w:p w14:paraId="70F13A5F" w14:textId="77777777" w:rsidR="00801199" w:rsidRDefault="00CA7EAD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三、课程教学目标</w:t>
      </w:r>
    </w:p>
    <w:tbl>
      <w:tblPr>
        <w:tblpPr w:leftFromText="180" w:rightFromText="180" w:vertAnchor="text" w:horzAnchor="margin" w:tblpXSpec="center" w:tblpY="17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822"/>
        <w:gridCol w:w="2653"/>
        <w:gridCol w:w="1985"/>
      </w:tblGrid>
      <w:tr w:rsidR="00801199" w14:paraId="7502D614" w14:textId="77777777">
        <w:trPr>
          <w:trHeight w:val="413"/>
        </w:trPr>
        <w:tc>
          <w:tcPr>
            <w:tcW w:w="4259" w:type="dxa"/>
            <w:gridSpan w:val="2"/>
            <w:vAlign w:val="center"/>
          </w:tcPr>
          <w:p w14:paraId="71594ABD" w14:textId="77777777" w:rsidR="00801199" w:rsidRDefault="00CA7EAD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课程教学目标</w:t>
            </w:r>
          </w:p>
        </w:tc>
        <w:tc>
          <w:tcPr>
            <w:tcW w:w="2653" w:type="dxa"/>
            <w:vAlign w:val="center"/>
          </w:tcPr>
          <w:p w14:paraId="09953B29" w14:textId="77777777" w:rsidR="00801199" w:rsidRDefault="00CA7EAD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支撑人才培养规格指标点</w:t>
            </w:r>
          </w:p>
        </w:tc>
        <w:tc>
          <w:tcPr>
            <w:tcW w:w="1985" w:type="dxa"/>
            <w:vAlign w:val="center"/>
          </w:tcPr>
          <w:p w14:paraId="3D0B492B" w14:textId="77777777" w:rsidR="00801199" w:rsidRDefault="00CA7EAD">
            <w:pPr>
              <w:tabs>
                <w:tab w:val="left" w:pos="1440"/>
              </w:tabs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支撑人才培养规格</w:t>
            </w:r>
          </w:p>
        </w:tc>
      </w:tr>
      <w:tr w:rsidR="00017450" w14:paraId="12EDA9F6" w14:textId="77777777" w:rsidTr="00AB65B5">
        <w:trPr>
          <w:trHeight w:val="849"/>
        </w:trPr>
        <w:tc>
          <w:tcPr>
            <w:tcW w:w="437" w:type="dxa"/>
            <w:vAlign w:val="center"/>
          </w:tcPr>
          <w:p w14:paraId="08DBA6D8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知</w:t>
            </w:r>
          </w:p>
          <w:p w14:paraId="6D9C5D65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识</w:t>
            </w:r>
          </w:p>
          <w:p w14:paraId="22B7DCFC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目</w:t>
            </w:r>
          </w:p>
          <w:p w14:paraId="02A57B9A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标</w:t>
            </w:r>
          </w:p>
        </w:tc>
        <w:tc>
          <w:tcPr>
            <w:tcW w:w="3822" w:type="dxa"/>
            <w:vAlign w:val="center"/>
          </w:tcPr>
          <w:p w14:paraId="2183846F" w14:textId="77777777" w:rsidR="00017450" w:rsidRDefault="00017450" w:rsidP="00017450">
            <w:pPr>
              <w:tabs>
                <w:tab w:val="left" w:pos="1440"/>
              </w:tabs>
              <w:outlineLvl w:val="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</w:t>
            </w:r>
            <w:r>
              <w:rPr>
                <w:b/>
                <w:bCs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sz w:val="21"/>
                <w:szCs w:val="21"/>
              </w:rPr>
              <w:t>：</w:t>
            </w:r>
          </w:p>
          <w:p w14:paraId="4D7C66B9" w14:textId="77777777" w:rsidR="00017450" w:rsidRDefault="00017450" w:rsidP="00017450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培养学生</w:t>
            </w:r>
            <w:r>
              <w:rPr>
                <w:rFonts w:hint="eastAsia"/>
                <w:color w:val="000000"/>
                <w:sz w:val="21"/>
                <w:szCs w:val="21"/>
              </w:rPr>
              <w:t>了解电子信息工程领域概况，了解电子信息工程涉及的相关理论和技术范畴；提高对电子信息技术在企业管理及生产过程中应用的重要性的认识，提升学生学习的兴趣和积极性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653" w:type="dxa"/>
          </w:tcPr>
          <w:p w14:paraId="2FA6F4BE" w14:textId="6AD6ECD3" w:rsidR="00017450" w:rsidRPr="00017450" w:rsidRDefault="00017450" w:rsidP="00017450">
            <w:pPr>
              <w:shd w:val="clear" w:color="auto" w:fill="FFFFFF"/>
              <w:spacing w:before="75" w:after="75"/>
              <w:ind w:right="75"/>
            </w:pPr>
            <w:r>
              <w:t>3-1：掌握数学、自然科学、工程基础和专业知识，并能够用于表述电子信息领域的相关工程问题。</w:t>
            </w:r>
          </w:p>
        </w:tc>
        <w:tc>
          <w:tcPr>
            <w:tcW w:w="1985" w:type="dxa"/>
            <w:vAlign w:val="center"/>
          </w:tcPr>
          <w:p w14:paraId="516875FB" w14:textId="77777777" w:rsidR="00017450" w:rsidRDefault="00017450" w:rsidP="00017450">
            <w:pPr>
              <w:shd w:val="clear" w:color="auto" w:fill="FFFFFF"/>
              <w:spacing w:before="75" w:after="75"/>
              <w:ind w:right="75"/>
            </w:pPr>
            <w:r w:rsidRPr="00DA6F10">
              <w:rPr>
                <w:rFonts w:hint="eastAsia"/>
              </w:rPr>
              <w:t>3.工程知识</w:t>
            </w:r>
          </w:p>
          <w:p w14:paraId="5459C529" w14:textId="496F6452" w:rsidR="00017450" w:rsidRDefault="00017450" w:rsidP="00017450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</w:p>
        </w:tc>
      </w:tr>
      <w:tr w:rsidR="00017450" w14:paraId="73566318" w14:textId="77777777" w:rsidTr="00AB65B5">
        <w:trPr>
          <w:trHeight w:val="739"/>
        </w:trPr>
        <w:tc>
          <w:tcPr>
            <w:tcW w:w="437" w:type="dxa"/>
            <w:vAlign w:val="center"/>
          </w:tcPr>
          <w:p w14:paraId="429E03B4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能</w:t>
            </w:r>
          </w:p>
          <w:p w14:paraId="4300F937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力</w:t>
            </w:r>
          </w:p>
          <w:p w14:paraId="1765913E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目</w:t>
            </w:r>
          </w:p>
          <w:p w14:paraId="2E81BE55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标</w:t>
            </w:r>
          </w:p>
        </w:tc>
        <w:tc>
          <w:tcPr>
            <w:tcW w:w="3822" w:type="dxa"/>
            <w:vAlign w:val="center"/>
          </w:tcPr>
          <w:p w14:paraId="426F8F4E" w14:textId="77777777" w:rsidR="00017450" w:rsidRDefault="00017450" w:rsidP="00017450">
            <w:pPr>
              <w:tabs>
                <w:tab w:val="left" w:pos="1440"/>
              </w:tabs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目标2：</w:t>
            </w:r>
            <w:r>
              <w:rPr>
                <w:rFonts w:hint="eastAsia"/>
                <w:color w:val="000000"/>
              </w:rPr>
              <w:t>培养学生</w:t>
            </w:r>
            <w:r>
              <w:rPr>
                <w:rFonts w:hint="eastAsia"/>
                <w:color w:val="000000"/>
                <w:sz w:val="21"/>
                <w:szCs w:val="21"/>
              </w:rPr>
              <w:t>了解电子信息相关技术、设计开发流程、开发方法；通过典型案例分析了解电子信息工程开发环境、研究的基本方法，培养学生发现问题、分析问题的基本能力。</w:t>
            </w:r>
          </w:p>
        </w:tc>
        <w:tc>
          <w:tcPr>
            <w:tcW w:w="2653" w:type="dxa"/>
          </w:tcPr>
          <w:p w14:paraId="4CD987AA" w14:textId="1030D4BB" w:rsidR="00017450" w:rsidRPr="00017450" w:rsidRDefault="00017450" w:rsidP="00017450">
            <w:pPr>
              <w:shd w:val="clear" w:color="auto" w:fill="FFFFFF"/>
              <w:spacing w:before="75" w:after="75"/>
              <w:ind w:right="75"/>
            </w:pPr>
            <w:r w:rsidRPr="00DA6F10">
              <w:t>4-1：具备应用数学、自然科学和工程科学的基本原理，对电子信息的相关工程问题进行识别和表达的能力，能运用相关科学原理思考问</w:t>
            </w:r>
            <w:r w:rsidRPr="00DA6F10">
              <w:lastRenderedPageBreak/>
              <w:t>题，识别和判断工程问题的关键环节、步骤和参数，并进行有效的分析，以获得可靠的结论。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332B7F6" w14:textId="77777777" w:rsidR="00017450" w:rsidRDefault="00017450" w:rsidP="00017450">
            <w:pPr>
              <w:shd w:val="clear" w:color="auto" w:fill="FFFFFF"/>
              <w:spacing w:before="75" w:after="75"/>
              <w:ind w:right="75"/>
            </w:pPr>
            <w:r w:rsidRPr="0077715B">
              <w:lastRenderedPageBreak/>
              <w:t>4.问题分析</w:t>
            </w:r>
          </w:p>
          <w:p w14:paraId="560AB1DE" w14:textId="3A37734F" w:rsidR="00017450" w:rsidRDefault="00017450" w:rsidP="00017450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</w:p>
        </w:tc>
      </w:tr>
      <w:tr w:rsidR="00017450" w14:paraId="4637ED63" w14:textId="77777777">
        <w:trPr>
          <w:trHeight w:val="546"/>
        </w:trPr>
        <w:tc>
          <w:tcPr>
            <w:tcW w:w="437" w:type="dxa"/>
            <w:vAlign w:val="center"/>
          </w:tcPr>
          <w:p w14:paraId="54247A91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素</w:t>
            </w:r>
          </w:p>
          <w:p w14:paraId="167EE76B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质</w:t>
            </w:r>
          </w:p>
          <w:p w14:paraId="1D80A613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目</w:t>
            </w:r>
          </w:p>
          <w:p w14:paraId="6B6FF533" w14:textId="77777777" w:rsidR="00017450" w:rsidRDefault="00017450" w:rsidP="00017450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标</w:t>
            </w:r>
          </w:p>
        </w:tc>
        <w:tc>
          <w:tcPr>
            <w:tcW w:w="3822" w:type="dxa"/>
            <w:vAlign w:val="center"/>
          </w:tcPr>
          <w:p w14:paraId="411E9E9D" w14:textId="77777777" w:rsidR="00017450" w:rsidRDefault="00017450" w:rsidP="00017450">
            <w:pPr>
              <w:tabs>
                <w:tab w:val="left" w:pos="1440"/>
              </w:tabs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目标3：</w:t>
            </w:r>
          </w:p>
          <w:p w14:paraId="4EB7B4E4" w14:textId="77777777" w:rsidR="00017450" w:rsidRDefault="00017450" w:rsidP="00017450"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培养学生理解企业文化的内涵，了解电子信息工程行业的历史、现状和发展前景，提供学生与企业共同讨论职业规划的平台，提升学生学习专业知识的使命感和责任感。</w:t>
            </w:r>
          </w:p>
        </w:tc>
        <w:tc>
          <w:tcPr>
            <w:tcW w:w="2653" w:type="dxa"/>
            <w:vAlign w:val="center"/>
          </w:tcPr>
          <w:p w14:paraId="78A37015" w14:textId="0F11E405" w:rsidR="00017450" w:rsidRDefault="00017450" w:rsidP="00017450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 w:rsidRPr="001E492C">
              <w:t>8-2：理解工程技术的社会价值以及工程师的社会责任，能够在工程实践中理解并遵守工程职业道德、法律、伦理等制约因素。</w:t>
            </w:r>
          </w:p>
        </w:tc>
        <w:tc>
          <w:tcPr>
            <w:tcW w:w="1985" w:type="dxa"/>
            <w:vAlign w:val="center"/>
          </w:tcPr>
          <w:p w14:paraId="140DFE30" w14:textId="77777777" w:rsidR="00017450" w:rsidRDefault="00017450" w:rsidP="00017450">
            <w:pPr>
              <w:shd w:val="clear" w:color="auto" w:fill="FFFFFF"/>
              <w:spacing w:before="75" w:after="75"/>
              <w:ind w:right="75"/>
            </w:pPr>
            <w:r w:rsidRPr="00DA6F10">
              <w:t>8.职业规范</w:t>
            </w:r>
          </w:p>
          <w:p w14:paraId="310FCCFE" w14:textId="77DD3F5E" w:rsidR="00017450" w:rsidRDefault="00017450" w:rsidP="00017450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 w14:paraId="044F8543" w14:textId="77777777" w:rsidR="00A46F39" w:rsidRDefault="00A46F39">
      <w:pPr>
        <w:ind w:firstLineChars="250" w:firstLine="703"/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6A9AC2E2" w14:textId="29142155" w:rsidR="00801199" w:rsidRDefault="00CA7EAD">
      <w:pPr>
        <w:ind w:firstLineChars="250" w:firstLine="703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四、课程主要教学内容、学时安排及教学策略</w:t>
      </w:r>
    </w:p>
    <w:tbl>
      <w:tblPr>
        <w:tblW w:w="8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863"/>
        <w:gridCol w:w="4665"/>
        <w:gridCol w:w="1311"/>
        <w:gridCol w:w="886"/>
      </w:tblGrid>
      <w:tr w:rsidR="00801199" w14:paraId="4FC3F3F3" w14:textId="77777777">
        <w:trPr>
          <w:trHeight w:val="340"/>
          <w:jc w:val="center"/>
        </w:trPr>
        <w:tc>
          <w:tcPr>
            <w:tcW w:w="1261" w:type="dxa"/>
            <w:tcMar>
              <w:left w:w="28" w:type="dxa"/>
              <w:right w:w="28" w:type="dxa"/>
            </w:tcMar>
            <w:vAlign w:val="center"/>
          </w:tcPr>
          <w:p w14:paraId="4E3342B9" w14:textId="77777777" w:rsidR="00801199" w:rsidRDefault="00CA7EAD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指导环节</w:t>
            </w:r>
          </w:p>
        </w:tc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1F939F42" w14:textId="77777777" w:rsidR="00801199" w:rsidRDefault="00CA7EAD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时间</w:t>
            </w:r>
          </w:p>
          <w:p w14:paraId="7D51579A" w14:textId="77777777" w:rsidR="00801199" w:rsidRDefault="00CA7EAD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安排</w:t>
            </w:r>
          </w:p>
        </w:tc>
        <w:tc>
          <w:tcPr>
            <w:tcW w:w="4665" w:type="dxa"/>
            <w:tcMar>
              <w:left w:w="28" w:type="dxa"/>
              <w:right w:w="28" w:type="dxa"/>
            </w:tcMar>
            <w:vAlign w:val="center"/>
          </w:tcPr>
          <w:p w14:paraId="349AAABA" w14:textId="77777777" w:rsidR="00801199" w:rsidRDefault="00CA7EAD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主要教学内容</w:t>
            </w:r>
          </w:p>
        </w:tc>
        <w:tc>
          <w:tcPr>
            <w:tcW w:w="1311" w:type="dxa"/>
            <w:vAlign w:val="center"/>
          </w:tcPr>
          <w:p w14:paraId="2C947E1C" w14:textId="77777777" w:rsidR="00801199" w:rsidRDefault="00CA7EAD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指导</w:t>
            </w:r>
          </w:p>
          <w:p w14:paraId="57B6B829" w14:textId="77777777" w:rsidR="00801199" w:rsidRDefault="00CA7EAD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要求</w:t>
            </w:r>
          </w:p>
        </w:tc>
        <w:tc>
          <w:tcPr>
            <w:tcW w:w="886" w:type="dxa"/>
            <w:vAlign w:val="center"/>
          </w:tcPr>
          <w:p w14:paraId="17C3DB62" w14:textId="77777777" w:rsidR="00801199" w:rsidRDefault="00CA7EAD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支撑课程目标</w:t>
            </w:r>
          </w:p>
        </w:tc>
      </w:tr>
      <w:tr w:rsidR="00801199" w14:paraId="2E2E3D2D" w14:textId="77777777">
        <w:trPr>
          <w:trHeight w:val="340"/>
          <w:jc w:val="center"/>
        </w:trPr>
        <w:tc>
          <w:tcPr>
            <w:tcW w:w="1261" w:type="dxa"/>
            <w:vAlign w:val="center"/>
          </w:tcPr>
          <w:p w14:paraId="2B7297B5" w14:textId="77777777" w:rsidR="00801199" w:rsidRDefault="00CA7EAD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认知实习</w:t>
            </w:r>
            <w:r>
              <w:rPr>
                <w:rFonts w:hint="eastAsia"/>
                <w:sz w:val="24"/>
              </w:rPr>
              <w:t>动员</w:t>
            </w:r>
          </w:p>
        </w:tc>
        <w:tc>
          <w:tcPr>
            <w:tcW w:w="863" w:type="dxa"/>
            <w:vAlign w:val="center"/>
          </w:tcPr>
          <w:p w14:paraId="6632B9D7" w14:textId="42610955" w:rsidR="00801199" w:rsidRDefault="009F465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665" w:type="dxa"/>
            <w:vAlign w:val="center"/>
          </w:tcPr>
          <w:p w14:paraId="67E80540" w14:textId="5FAE33E1" w:rsidR="00801199" w:rsidRPr="005F094C" w:rsidRDefault="00CA7EAD">
            <w:pPr>
              <w:shd w:val="clear" w:color="auto" w:fill="FFFFFF"/>
              <w:spacing w:before="75" w:after="75"/>
              <w:ind w:right="75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指导</w:t>
            </w:r>
            <w:r>
              <w:rPr>
                <w:b/>
                <w:color w:val="000000"/>
                <w:sz w:val="21"/>
                <w:szCs w:val="21"/>
              </w:rPr>
              <w:t>内容：</w:t>
            </w:r>
            <w:r>
              <w:rPr>
                <w:rFonts w:hint="eastAsia"/>
                <w:color w:val="000000"/>
                <w:sz w:val="21"/>
                <w:szCs w:val="21"/>
              </w:rPr>
              <w:t>介绍认知实习的</w:t>
            </w:r>
            <w:r>
              <w:rPr>
                <w:color w:val="000000"/>
                <w:sz w:val="21"/>
                <w:szCs w:val="21"/>
              </w:rPr>
              <w:t>意义</w:t>
            </w:r>
            <w:r>
              <w:rPr>
                <w:rFonts w:hint="eastAsia"/>
                <w:color w:val="000000"/>
                <w:sz w:val="21"/>
                <w:szCs w:val="21"/>
              </w:rPr>
              <w:t>、基本要求、对该课程的考核以及未完成引起的后果</w:t>
            </w:r>
            <w:r>
              <w:rPr>
                <w:color w:val="000000"/>
                <w:sz w:val="21"/>
                <w:szCs w:val="21"/>
              </w:rPr>
              <w:t>。</w:t>
            </w:r>
          </w:p>
          <w:p w14:paraId="4B1E4A2E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重点：</w:t>
            </w:r>
            <w:r>
              <w:rPr>
                <w:rFonts w:hint="eastAsia"/>
                <w:color w:val="000000"/>
                <w:sz w:val="21"/>
                <w:szCs w:val="21"/>
              </w:rPr>
              <w:t>强调安全意识和认知实习报告的重要性</w:t>
            </w:r>
            <w:r>
              <w:rPr>
                <w:color w:val="000000"/>
                <w:sz w:val="21"/>
                <w:szCs w:val="21"/>
              </w:rPr>
              <w:t>。</w:t>
            </w:r>
          </w:p>
          <w:p w14:paraId="6410B00F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难点：</w:t>
            </w:r>
            <w:r>
              <w:rPr>
                <w:rFonts w:hint="eastAsia"/>
                <w:color w:val="000000"/>
                <w:sz w:val="21"/>
                <w:szCs w:val="21"/>
              </w:rPr>
              <w:t>让学生对安全意识和认知实习有较为全面的认识，并能引起足够的重视。</w:t>
            </w:r>
          </w:p>
          <w:p w14:paraId="6F3F181F" w14:textId="30F1AA0C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思政元素：</w:t>
            </w:r>
            <w:r>
              <w:rPr>
                <w:rFonts w:hint="eastAsia"/>
                <w:color w:val="000000"/>
                <w:sz w:val="21"/>
                <w:szCs w:val="21"/>
              </w:rPr>
              <w:t>培养学生学习的兴趣和积极性，学习专业知识的使命感和责任感。</w:t>
            </w:r>
          </w:p>
        </w:tc>
        <w:tc>
          <w:tcPr>
            <w:tcW w:w="1311" w:type="dxa"/>
            <w:vAlign w:val="center"/>
          </w:tcPr>
          <w:p w14:paraId="628D53F2" w14:textId="77777777" w:rsidR="00801199" w:rsidRDefault="00CA7EAD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由教务处负责安排车辆，由1</w:t>
            </w:r>
            <w:r>
              <w:rPr>
                <w:color w:val="000000"/>
                <w:sz w:val="21"/>
                <w:szCs w:val="21"/>
              </w:rPr>
              <w:t>-2</w:t>
            </w:r>
            <w:r>
              <w:rPr>
                <w:rFonts w:hint="eastAsia"/>
                <w:color w:val="000000"/>
                <w:sz w:val="21"/>
                <w:szCs w:val="21"/>
              </w:rPr>
              <w:t>位教师领队</w:t>
            </w:r>
            <w:r>
              <w:rPr>
                <w:rFonts w:hint="eastAsia"/>
                <w:szCs w:val="21"/>
              </w:rPr>
              <w:t>并</w:t>
            </w:r>
            <w:r>
              <w:rPr>
                <w:szCs w:val="21"/>
              </w:rPr>
              <w:t>联系实习单位</w:t>
            </w:r>
            <w:r>
              <w:rPr>
                <w:rFonts w:hint="eastAsia"/>
                <w:color w:val="000000"/>
                <w:sz w:val="21"/>
                <w:szCs w:val="21"/>
              </w:rPr>
              <w:t>，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以行政班为单位，线上和线下结合进行宣讲</w:t>
            </w:r>
          </w:p>
        </w:tc>
        <w:tc>
          <w:tcPr>
            <w:tcW w:w="886" w:type="dxa"/>
            <w:vAlign w:val="center"/>
          </w:tcPr>
          <w:p w14:paraId="62DA6053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目标1</w:t>
            </w:r>
          </w:p>
          <w:p w14:paraId="6EAE4231" w14:textId="77777777" w:rsidR="00801199" w:rsidRDefault="00CA7EAD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801199" w14:paraId="4334E808" w14:textId="77777777">
        <w:trPr>
          <w:trHeight w:val="340"/>
          <w:jc w:val="center"/>
        </w:trPr>
        <w:tc>
          <w:tcPr>
            <w:tcW w:w="1261" w:type="dxa"/>
            <w:vAlign w:val="center"/>
          </w:tcPr>
          <w:p w14:paraId="3EEDA610" w14:textId="77777777" w:rsidR="00801199" w:rsidRDefault="00CA7EAD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参观实习</w:t>
            </w:r>
          </w:p>
        </w:tc>
        <w:tc>
          <w:tcPr>
            <w:tcW w:w="863" w:type="dxa"/>
            <w:vAlign w:val="center"/>
          </w:tcPr>
          <w:p w14:paraId="3E088EED" w14:textId="13E1837B" w:rsidR="00801199" w:rsidRDefault="009F465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665" w:type="dxa"/>
            <w:vAlign w:val="center"/>
          </w:tcPr>
          <w:p w14:paraId="20661823" w14:textId="390932E1" w:rsidR="00801199" w:rsidRPr="005F094C" w:rsidRDefault="00CA7EAD">
            <w:pPr>
              <w:shd w:val="clear" w:color="auto" w:fill="FFFFFF"/>
              <w:spacing w:before="75" w:after="75"/>
              <w:ind w:right="75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指导</w:t>
            </w:r>
            <w:r>
              <w:rPr>
                <w:b/>
                <w:color w:val="000000"/>
                <w:sz w:val="21"/>
                <w:szCs w:val="21"/>
              </w:rPr>
              <w:t>内容：</w:t>
            </w:r>
            <w:r>
              <w:rPr>
                <w:color w:val="000000"/>
                <w:sz w:val="21"/>
                <w:szCs w:val="21"/>
              </w:rPr>
              <w:t>参观实习基地、由实习单位讲解企业文化</w:t>
            </w:r>
            <w:r>
              <w:rPr>
                <w:rFonts w:hint="eastAsia"/>
                <w:color w:val="000000"/>
                <w:sz w:val="21"/>
                <w:szCs w:val="21"/>
              </w:rPr>
              <w:t>，电子信息领域概况</w:t>
            </w:r>
            <w:r>
              <w:rPr>
                <w:color w:val="000000"/>
                <w:sz w:val="21"/>
                <w:szCs w:val="21"/>
              </w:rPr>
              <w:t>；由企业技术人员讲解</w:t>
            </w:r>
            <w:r>
              <w:rPr>
                <w:rFonts w:hint="eastAsia"/>
                <w:color w:val="000000"/>
                <w:sz w:val="21"/>
                <w:szCs w:val="21"/>
              </w:rPr>
              <w:t>电子信息技术、设计</w:t>
            </w:r>
            <w:r>
              <w:rPr>
                <w:color w:val="000000"/>
                <w:sz w:val="21"/>
                <w:szCs w:val="21"/>
              </w:rPr>
              <w:t>开发流程、开发方法及进行典型案例分析；</w:t>
            </w:r>
            <w:r>
              <w:rPr>
                <w:rFonts w:hint="eastAsia"/>
                <w:color w:val="000000"/>
                <w:sz w:val="21"/>
                <w:szCs w:val="21"/>
              </w:rPr>
              <w:t>企业介绍电子信息工程行业前景、学生与企业共同进行职业规划；参观企业电子信息技术开发环境。</w:t>
            </w:r>
          </w:p>
          <w:p w14:paraId="07B8CB50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重点：</w:t>
            </w:r>
            <w:r>
              <w:rPr>
                <w:rFonts w:hint="eastAsia"/>
                <w:color w:val="000000"/>
                <w:sz w:val="21"/>
                <w:szCs w:val="21"/>
              </w:rPr>
              <w:t>电子信息技术、设计</w:t>
            </w:r>
            <w:r>
              <w:rPr>
                <w:color w:val="000000"/>
                <w:sz w:val="21"/>
                <w:szCs w:val="21"/>
              </w:rPr>
              <w:t>开发流程、开发方法及进行典型案例分析。</w:t>
            </w:r>
          </w:p>
          <w:p w14:paraId="575C724F" w14:textId="77777777" w:rsidR="00801199" w:rsidRDefault="00CA7EAD">
            <w:pPr>
              <w:shd w:val="clear" w:color="auto" w:fill="FFFFFF"/>
              <w:adjustRightInd w:val="0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难点：</w:t>
            </w:r>
            <w:r>
              <w:rPr>
                <w:rFonts w:hint="eastAsia"/>
                <w:color w:val="000000"/>
                <w:sz w:val="21"/>
                <w:szCs w:val="21"/>
              </w:rPr>
              <w:t>电子信息技术开发环境</w:t>
            </w:r>
            <w:r>
              <w:rPr>
                <w:color w:val="000000"/>
                <w:sz w:val="21"/>
                <w:szCs w:val="21"/>
              </w:rPr>
              <w:t>。</w:t>
            </w:r>
          </w:p>
          <w:p w14:paraId="109A2E06" w14:textId="77777777" w:rsidR="00801199" w:rsidRDefault="00CA7EAD">
            <w:pPr>
              <w:shd w:val="clear" w:color="auto" w:fill="FFFFFF"/>
              <w:adjustRightInd w:val="0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思政元素：</w:t>
            </w:r>
            <w:r>
              <w:rPr>
                <w:rFonts w:hint="eastAsia"/>
                <w:color w:val="000000"/>
                <w:sz w:val="21"/>
                <w:szCs w:val="21"/>
              </w:rPr>
              <w:t>指导学生积极探索，培养善于发现并勇于创新的能力。</w:t>
            </w:r>
          </w:p>
        </w:tc>
        <w:tc>
          <w:tcPr>
            <w:tcW w:w="1311" w:type="dxa"/>
            <w:vAlign w:val="center"/>
          </w:tcPr>
          <w:p w14:paraId="05E4502F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由企业导师讲解和演示。</w:t>
            </w:r>
          </w:p>
        </w:tc>
        <w:tc>
          <w:tcPr>
            <w:tcW w:w="886" w:type="dxa"/>
            <w:vAlign w:val="center"/>
          </w:tcPr>
          <w:p w14:paraId="22E4D0CD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目标1</w:t>
            </w:r>
          </w:p>
          <w:p w14:paraId="3F2B0504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目标2</w:t>
            </w:r>
          </w:p>
          <w:p w14:paraId="706C3B4C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目标</w:t>
            </w:r>
            <w:r>
              <w:rPr>
                <w:color w:val="000000"/>
                <w:sz w:val="21"/>
                <w:szCs w:val="21"/>
              </w:rPr>
              <w:t>3</w:t>
            </w:r>
          </w:p>
          <w:p w14:paraId="032BD271" w14:textId="77777777" w:rsidR="00801199" w:rsidRDefault="00801199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</w:p>
        </w:tc>
      </w:tr>
      <w:tr w:rsidR="00801199" w14:paraId="110E8CFF" w14:textId="77777777">
        <w:trPr>
          <w:trHeight w:val="966"/>
          <w:jc w:val="center"/>
        </w:trPr>
        <w:tc>
          <w:tcPr>
            <w:tcW w:w="1261" w:type="dxa"/>
            <w:vAlign w:val="center"/>
          </w:tcPr>
          <w:p w14:paraId="5FB6507A" w14:textId="77777777" w:rsidR="00801199" w:rsidRDefault="00CA7EAD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实习总结</w:t>
            </w:r>
          </w:p>
        </w:tc>
        <w:tc>
          <w:tcPr>
            <w:tcW w:w="863" w:type="dxa"/>
            <w:vAlign w:val="center"/>
          </w:tcPr>
          <w:p w14:paraId="703A336E" w14:textId="48D260FA" w:rsidR="00801199" w:rsidRDefault="009F465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665" w:type="dxa"/>
            <w:vAlign w:val="center"/>
          </w:tcPr>
          <w:p w14:paraId="76D23C47" w14:textId="58532C8A" w:rsidR="00801199" w:rsidRPr="005F094C" w:rsidRDefault="00CA7EAD" w:rsidP="005F094C">
            <w:pPr>
              <w:shd w:val="clear" w:color="auto" w:fill="FFFFFF"/>
              <w:spacing w:before="75" w:after="75"/>
              <w:ind w:right="75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指导</w:t>
            </w:r>
            <w:r>
              <w:rPr>
                <w:b/>
                <w:color w:val="000000"/>
                <w:sz w:val="21"/>
                <w:szCs w:val="21"/>
              </w:rPr>
              <w:t xml:space="preserve">内容：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撰写报告</w:t>
            </w:r>
            <w:r>
              <w:rPr>
                <w:rFonts w:hint="eastAsia"/>
                <w:color w:val="000000"/>
                <w:sz w:val="21"/>
                <w:szCs w:val="21"/>
              </w:rPr>
              <w:t>的格式、内容和要求；实习总结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、讨论、分享</w:t>
            </w:r>
            <w:r w:rsidR="005F094C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14:paraId="3A9A787C" w14:textId="462C4DA9" w:rsidR="00801199" w:rsidRPr="005F094C" w:rsidRDefault="00CA7EAD">
            <w:pPr>
              <w:shd w:val="clear" w:color="auto" w:fill="FFFFFF"/>
              <w:spacing w:before="75" w:after="75"/>
              <w:ind w:right="75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重点</w:t>
            </w:r>
            <w:r>
              <w:rPr>
                <w:b/>
                <w:color w:val="000000"/>
                <w:sz w:val="21"/>
                <w:szCs w:val="21"/>
              </w:rPr>
              <w:t>：</w:t>
            </w:r>
            <w:r>
              <w:rPr>
                <w:rFonts w:hint="eastAsia"/>
                <w:color w:val="000000"/>
                <w:sz w:val="21"/>
                <w:szCs w:val="21"/>
              </w:rPr>
              <w:t>报告的要求；实习总结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、讨论、分享</w:t>
            </w:r>
            <w:r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  <w:p w14:paraId="35218BE6" w14:textId="3BC75B1A" w:rsidR="00801199" w:rsidRPr="005F094C" w:rsidRDefault="00CA7EAD">
            <w:pPr>
              <w:shd w:val="clear" w:color="auto" w:fill="FFFFFF"/>
              <w:spacing w:before="75" w:after="75"/>
              <w:ind w:right="75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lastRenderedPageBreak/>
              <w:t>难点：</w:t>
            </w:r>
            <w:r>
              <w:rPr>
                <w:rFonts w:hint="eastAsia"/>
                <w:color w:val="000000"/>
                <w:sz w:val="21"/>
                <w:szCs w:val="21"/>
              </w:rPr>
              <w:t>报告的格式；实习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讨论、分享</w:t>
            </w:r>
            <w:r w:rsidR="005F094C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14:paraId="2E05E9DF" w14:textId="7E7C49BD" w:rsidR="00801199" w:rsidRDefault="00CA7EAD">
            <w:pPr>
              <w:shd w:val="clear" w:color="auto" w:fill="FFFFFF"/>
              <w:spacing w:before="75" w:after="75"/>
              <w:ind w:right="75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思政元素：</w:t>
            </w:r>
            <w:r>
              <w:rPr>
                <w:rFonts w:hint="eastAsia"/>
                <w:color w:val="000000"/>
                <w:sz w:val="21"/>
                <w:szCs w:val="21"/>
              </w:rPr>
              <w:t>培养学生严谨的学习态度，演讲和沟通能力</w:t>
            </w:r>
            <w:r w:rsidR="005F094C"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311" w:type="dxa"/>
            <w:vAlign w:val="center"/>
          </w:tcPr>
          <w:p w14:paraId="33E9C8E2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线上和线下结合进行</w:t>
            </w:r>
          </w:p>
        </w:tc>
        <w:tc>
          <w:tcPr>
            <w:tcW w:w="886" w:type="dxa"/>
            <w:vAlign w:val="center"/>
          </w:tcPr>
          <w:p w14:paraId="2ACC5AC6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目标1</w:t>
            </w:r>
          </w:p>
          <w:p w14:paraId="7CC31B25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目标2</w:t>
            </w:r>
          </w:p>
          <w:p w14:paraId="63F543A4" w14:textId="77777777" w:rsidR="00801199" w:rsidRDefault="00CA7EAD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目标</w:t>
            </w:r>
            <w:r>
              <w:rPr>
                <w:color w:val="000000"/>
                <w:sz w:val="21"/>
                <w:szCs w:val="21"/>
              </w:rPr>
              <w:t>3</w:t>
            </w:r>
          </w:p>
          <w:p w14:paraId="5330C551" w14:textId="77777777" w:rsidR="00801199" w:rsidRDefault="00801199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</w:p>
        </w:tc>
      </w:tr>
    </w:tbl>
    <w:p w14:paraId="7643BA92" w14:textId="77777777" w:rsidR="00801199" w:rsidRDefault="00801199">
      <w:pPr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1F596C20" w14:textId="77777777" w:rsidR="00801199" w:rsidRDefault="00CA7EAD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五、学生学习成效评估方式及标准</w:t>
      </w:r>
    </w:p>
    <w:p w14:paraId="4495CF7B" w14:textId="17AF6EE4" w:rsidR="00801199" w:rsidRDefault="00CA7EAD">
      <w:pPr>
        <w:spacing w:line="360" w:lineRule="auto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>
        <w:rPr>
          <w:rFonts w:hint="eastAsia"/>
          <w:color w:val="000000"/>
          <w:sz w:val="21"/>
          <w:szCs w:val="21"/>
        </w:rPr>
        <w:t>认知实习</w:t>
      </w:r>
      <w:r>
        <w:rPr>
          <w:rFonts w:hint="eastAsia"/>
          <w:sz w:val="21"/>
          <w:szCs w:val="21"/>
        </w:rPr>
        <w:t>的综合成绩由</w:t>
      </w:r>
      <w:r>
        <w:rPr>
          <w:sz w:val="21"/>
          <w:szCs w:val="21"/>
        </w:rPr>
        <w:t>实习报告</w:t>
      </w:r>
      <w:r>
        <w:rPr>
          <w:rFonts w:hint="eastAsia"/>
          <w:sz w:val="21"/>
          <w:szCs w:val="21"/>
        </w:rPr>
        <w:t>（占</w:t>
      </w:r>
      <w:r w:rsidR="00DB52F6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0%）</w:t>
      </w:r>
      <w:r>
        <w:rPr>
          <w:sz w:val="21"/>
          <w:szCs w:val="21"/>
        </w:rPr>
        <w:t>、</w:t>
      </w:r>
      <w:r w:rsidR="005F04FA">
        <w:rPr>
          <w:rFonts w:hint="eastAsia"/>
          <w:sz w:val="21"/>
          <w:szCs w:val="21"/>
        </w:rPr>
        <w:t>考</w:t>
      </w:r>
      <w:r>
        <w:rPr>
          <w:sz w:val="21"/>
          <w:szCs w:val="21"/>
        </w:rPr>
        <w:t>勤</w:t>
      </w:r>
      <w:r>
        <w:rPr>
          <w:rFonts w:hint="eastAsia"/>
          <w:sz w:val="21"/>
          <w:szCs w:val="21"/>
        </w:rPr>
        <w:t>（占</w:t>
      </w:r>
      <w:r w:rsidR="00DB52F6"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0%）</w:t>
      </w:r>
      <w:r>
        <w:rPr>
          <w:sz w:val="21"/>
          <w:szCs w:val="21"/>
        </w:rPr>
        <w:t>、实习期间表现</w:t>
      </w:r>
      <w:r>
        <w:rPr>
          <w:rFonts w:hint="eastAsia"/>
          <w:sz w:val="21"/>
          <w:szCs w:val="21"/>
        </w:rPr>
        <w:t>（占</w:t>
      </w:r>
      <w:r w:rsidR="00DB52F6"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0%）</w:t>
      </w:r>
      <w:r w:rsidR="005F04FA">
        <w:rPr>
          <w:rFonts w:hint="eastAsia"/>
          <w:sz w:val="21"/>
          <w:szCs w:val="21"/>
        </w:rPr>
        <w:t>三</w:t>
      </w:r>
      <w:r>
        <w:rPr>
          <w:rFonts w:hint="eastAsia"/>
          <w:sz w:val="21"/>
          <w:szCs w:val="21"/>
        </w:rPr>
        <w:t>部分组成。</w:t>
      </w:r>
    </w:p>
    <w:p w14:paraId="424582F1" w14:textId="77777777" w:rsidR="00801199" w:rsidRDefault="00CA7EAD">
      <w:pPr>
        <w:spacing w:line="360" w:lineRule="auto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2.综合成绩按五级记分制提交，即优秀（90-100）、良好（80-89）、中等（70-79）、及格（60-69）、不及格（59分以下）。</w:t>
      </w:r>
    </w:p>
    <w:tbl>
      <w:tblPr>
        <w:tblStyle w:val="a9"/>
        <w:tblW w:w="8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6945"/>
      </w:tblGrid>
      <w:tr w:rsidR="00801199" w14:paraId="47FE594B" w14:textId="77777777" w:rsidTr="006776D7">
        <w:trPr>
          <w:trHeight w:val="351"/>
          <w:jc w:val="center"/>
        </w:trPr>
        <w:tc>
          <w:tcPr>
            <w:tcW w:w="1686" w:type="dxa"/>
            <w:vMerge w:val="restart"/>
            <w:vAlign w:val="center"/>
          </w:tcPr>
          <w:p w14:paraId="7FBD288B" w14:textId="77777777" w:rsidR="00801199" w:rsidRDefault="00CA7EAD">
            <w:pPr>
              <w:ind w:firstLineChars="200" w:firstLine="422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945" w:type="dxa"/>
            <w:vAlign w:val="center"/>
          </w:tcPr>
          <w:p w14:paraId="16C96A43" w14:textId="77777777" w:rsidR="00801199" w:rsidRDefault="00CA7EAD">
            <w:pPr>
              <w:ind w:firstLineChars="1000" w:firstLine="2108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评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分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标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准</w:t>
            </w:r>
          </w:p>
        </w:tc>
      </w:tr>
      <w:tr w:rsidR="00801199" w14:paraId="269D47A0" w14:textId="77777777" w:rsidTr="006776D7">
        <w:trPr>
          <w:trHeight w:val="382"/>
          <w:jc w:val="center"/>
        </w:trPr>
        <w:tc>
          <w:tcPr>
            <w:tcW w:w="1686" w:type="dxa"/>
            <w:vMerge/>
            <w:vAlign w:val="center"/>
          </w:tcPr>
          <w:p w14:paraId="03B45AA1" w14:textId="77777777" w:rsidR="00801199" w:rsidRDefault="00801199">
            <w:pPr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945" w:type="dxa"/>
            <w:vAlign w:val="center"/>
          </w:tcPr>
          <w:p w14:paraId="390597CC" w14:textId="3B516832" w:rsidR="00801199" w:rsidRDefault="00CA7EAD" w:rsidP="005F04FA">
            <w:pPr>
              <w:jc w:val="center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1.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实习报告；</w:t>
            </w:r>
            <w:r w:rsidR="005F04FA"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="005F04FA" w:rsidRPr="005F04FA"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考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勤；</w:t>
            </w:r>
            <w:r w:rsidR="005F04FA"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实习期间表现</w:t>
            </w:r>
          </w:p>
        </w:tc>
      </w:tr>
      <w:tr w:rsidR="00801199" w14:paraId="7F979350" w14:textId="77777777" w:rsidTr="006776D7">
        <w:trPr>
          <w:jc w:val="center"/>
        </w:trPr>
        <w:tc>
          <w:tcPr>
            <w:tcW w:w="1686" w:type="dxa"/>
          </w:tcPr>
          <w:p w14:paraId="7AD188C8" w14:textId="77777777" w:rsidR="00801199" w:rsidRDefault="00CA7EAD"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优秀</w:t>
            </w:r>
          </w:p>
          <w:p w14:paraId="537961AF" w14:textId="77777777" w:rsidR="00801199" w:rsidRDefault="00CA7EAD"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（90～100分）</w:t>
            </w:r>
          </w:p>
        </w:tc>
        <w:tc>
          <w:tcPr>
            <w:tcW w:w="6945" w:type="dxa"/>
          </w:tcPr>
          <w:p w14:paraId="49D45226" w14:textId="07EA4E13" w:rsidR="00801199" w:rsidRDefault="003D5059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.报告格式正确，内容详实，分析和总结有理有据，观点正确。</w:t>
            </w:r>
          </w:p>
          <w:p w14:paraId="7160460E" w14:textId="2210E0AE" w:rsidR="00801199" w:rsidRDefault="003D5059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.无迟到、早退、请假。</w:t>
            </w:r>
          </w:p>
          <w:p w14:paraId="156C8784" w14:textId="12A4ED0C" w:rsidR="00801199" w:rsidRDefault="003D505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.勤学好问，积极参与讨论与分享，遵纪守法。</w:t>
            </w:r>
          </w:p>
        </w:tc>
      </w:tr>
      <w:tr w:rsidR="00801199" w14:paraId="721C0296" w14:textId="77777777" w:rsidTr="006776D7">
        <w:trPr>
          <w:jc w:val="center"/>
        </w:trPr>
        <w:tc>
          <w:tcPr>
            <w:tcW w:w="1686" w:type="dxa"/>
          </w:tcPr>
          <w:p w14:paraId="74FB6563" w14:textId="77777777" w:rsidR="00801199" w:rsidRDefault="00CA7EAD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良好</w:t>
            </w:r>
          </w:p>
          <w:p w14:paraId="6B6D7495" w14:textId="77777777" w:rsidR="00801199" w:rsidRDefault="00CA7EAD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（80～89分）</w:t>
            </w:r>
          </w:p>
        </w:tc>
        <w:tc>
          <w:tcPr>
            <w:tcW w:w="6945" w:type="dxa"/>
          </w:tcPr>
          <w:p w14:paraId="677FB7B2" w14:textId="4FB0DC30" w:rsidR="00801199" w:rsidRDefault="003D5059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.报告格式正确，内容详实，有分析和总结，观点正确。</w:t>
            </w:r>
          </w:p>
          <w:p w14:paraId="29B70EEB" w14:textId="36ED8690" w:rsidR="00801199" w:rsidRDefault="003D5059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.无迟到、早退、请假。</w:t>
            </w:r>
          </w:p>
          <w:p w14:paraId="6EC40C62" w14:textId="0A6309B0" w:rsidR="00801199" w:rsidRDefault="003D505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.勤学好问，积极参与讨论与分享，遵纪守法。。</w:t>
            </w:r>
          </w:p>
        </w:tc>
      </w:tr>
      <w:tr w:rsidR="00801199" w14:paraId="01589C15" w14:textId="77777777" w:rsidTr="006776D7">
        <w:trPr>
          <w:jc w:val="center"/>
        </w:trPr>
        <w:tc>
          <w:tcPr>
            <w:tcW w:w="1686" w:type="dxa"/>
          </w:tcPr>
          <w:p w14:paraId="379C1F6A" w14:textId="77777777" w:rsidR="00801199" w:rsidRDefault="00CA7EAD"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中等</w:t>
            </w:r>
          </w:p>
          <w:p w14:paraId="7B6E0723" w14:textId="77777777" w:rsidR="00801199" w:rsidRDefault="00CA7EAD"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（70～79分）</w:t>
            </w:r>
          </w:p>
        </w:tc>
        <w:tc>
          <w:tcPr>
            <w:tcW w:w="6945" w:type="dxa"/>
          </w:tcPr>
          <w:p w14:paraId="01B8C389" w14:textId="40E6B36C" w:rsidR="00801199" w:rsidRDefault="003D5059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.报告格式正确，内容较详实，有分析和总结。</w:t>
            </w:r>
          </w:p>
          <w:p w14:paraId="2832152B" w14:textId="18413A51" w:rsidR="00801199" w:rsidRDefault="003D5059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 迟到、早退，无请假。</w:t>
            </w:r>
          </w:p>
          <w:p w14:paraId="2462E785" w14:textId="20740461" w:rsidR="00801199" w:rsidRDefault="003D505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.能参与讨论与分享，遵纪守法。。</w:t>
            </w:r>
          </w:p>
        </w:tc>
      </w:tr>
      <w:tr w:rsidR="00801199" w14:paraId="78C4E2F9" w14:textId="77777777" w:rsidTr="006776D7">
        <w:trPr>
          <w:jc w:val="center"/>
        </w:trPr>
        <w:tc>
          <w:tcPr>
            <w:tcW w:w="1686" w:type="dxa"/>
          </w:tcPr>
          <w:p w14:paraId="3F687F09" w14:textId="77777777" w:rsidR="00801199" w:rsidRDefault="00CA7EAD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及格</w:t>
            </w:r>
          </w:p>
          <w:p w14:paraId="26DE58F5" w14:textId="77777777" w:rsidR="00801199" w:rsidRDefault="00CA7EAD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（60～69分）</w:t>
            </w:r>
          </w:p>
        </w:tc>
        <w:tc>
          <w:tcPr>
            <w:tcW w:w="6945" w:type="dxa"/>
          </w:tcPr>
          <w:p w14:paraId="2B0858EB" w14:textId="1F955069" w:rsidR="00801199" w:rsidRDefault="003D5059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.报告格式正确，内容空泛，无分析和总结。。</w:t>
            </w:r>
          </w:p>
          <w:p w14:paraId="7A47FB1F" w14:textId="66DCB5CF" w:rsidR="00801199" w:rsidRDefault="003D5059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.迟到、早退，请假但自己安排时间到企业补实习。</w:t>
            </w:r>
          </w:p>
          <w:p w14:paraId="3679C69A" w14:textId="40000EE7" w:rsidR="00801199" w:rsidRDefault="003D505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 能参与讨论与分享，遵纪守法。</w:t>
            </w:r>
          </w:p>
        </w:tc>
      </w:tr>
      <w:tr w:rsidR="00801199" w14:paraId="4E169A53" w14:textId="77777777" w:rsidTr="006776D7">
        <w:trPr>
          <w:jc w:val="center"/>
        </w:trPr>
        <w:tc>
          <w:tcPr>
            <w:tcW w:w="1686" w:type="dxa"/>
          </w:tcPr>
          <w:p w14:paraId="34447347" w14:textId="77777777" w:rsidR="00801199" w:rsidRDefault="00CA7EAD"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不及格</w:t>
            </w:r>
          </w:p>
          <w:p w14:paraId="41073858" w14:textId="77777777" w:rsidR="00801199" w:rsidRDefault="00CA7EAD"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（60以下）</w:t>
            </w:r>
          </w:p>
        </w:tc>
        <w:tc>
          <w:tcPr>
            <w:tcW w:w="6945" w:type="dxa"/>
          </w:tcPr>
          <w:p w14:paraId="7BF733FF" w14:textId="45D481BB" w:rsidR="00801199" w:rsidRDefault="003D5059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.报告格式不正确，内容空泛，无分析和总结。</w:t>
            </w:r>
          </w:p>
          <w:p w14:paraId="5592C182" w14:textId="016FFB61" w:rsidR="00801199" w:rsidRDefault="003D5059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.请假未补实习。</w:t>
            </w:r>
          </w:p>
          <w:p w14:paraId="7A168C70" w14:textId="122D11C7" w:rsidR="00801199" w:rsidRDefault="003D505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  <w:r w:rsidR="00CA7EAD">
              <w:rPr>
                <w:rFonts w:hint="eastAsia"/>
                <w:color w:val="333333"/>
                <w:sz w:val="21"/>
                <w:szCs w:val="21"/>
              </w:rPr>
              <w:t>.不愿参与讨论与分享，违纪违法，对企业造成重大损失。</w:t>
            </w:r>
          </w:p>
        </w:tc>
      </w:tr>
    </w:tbl>
    <w:p w14:paraId="542B42E2" w14:textId="77777777" w:rsidR="00801199" w:rsidRDefault="00CA7EAD">
      <w:pPr>
        <w:numPr>
          <w:ilvl w:val="0"/>
          <w:numId w:val="1"/>
        </w:numPr>
        <w:ind w:firstLine="42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教学安排及要求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5"/>
        <w:gridCol w:w="1872"/>
        <w:gridCol w:w="5739"/>
      </w:tblGrid>
      <w:tr w:rsidR="00801199" w14:paraId="6D50E103" w14:textId="77777777" w:rsidTr="006776D7">
        <w:trPr>
          <w:trHeight w:val="416"/>
          <w:jc w:val="center"/>
        </w:trPr>
        <w:tc>
          <w:tcPr>
            <w:tcW w:w="665" w:type="dxa"/>
            <w:vAlign w:val="center"/>
          </w:tcPr>
          <w:p w14:paraId="1AB1C50D" w14:textId="77777777" w:rsidR="00801199" w:rsidRDefault="00CA7EAD">
            <w:pPr>
              <w:snapToGrid w:val="0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872" w:type="dxa"/>
            <w:vAlign w:val="center"/>
          </w:tcPr>
          <w:p w14:paraId="30E13B3F" w14:textId="77777777" w:rsidR="00801199" w:rsidRDefault="00CA7EAD">
            <w:pPr>
              <w:snapToGrid w:val="0"/>
              <w:ind w:left="181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教学安排事项</w:t>
            </w:r>
          </w:p>
        </w:tc>
        <w:tc>
          <w:tcPr>
            <w:tcW w:w="5739" w:type="dxa"/>
            <w:vAlign w:val="center"/>
          </w:tcPr>
          <w:p w14:paraId="4BAAAA37" w14:textId="77777777" w:rsidR="00801199" w:rsidRDefault="00CA7EAD">
            <w:pPr>
              <w:ind w:firstLineChars="200" w:firstLine="422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1"/>
                <w:szCs w:val="21"/>
              </w:rPr>
              <w:t>要求</w:t>
            </w:r>
          </w:p>
        </w:tc>
      </w:tr>
      <w:tr w:rsidR="00801199" w14:paraId="7CD98BD7" w14:textId="77777777" w:rsidTr="006776D7">
        <w:trPr>
          <w:jc w:val="center"/>
        </w:trPr>
        <w:tc>
          <w:tcPr>
            <w:tcW w:w="665" w:type="dxa"/>
            <w:vAlign w:val="center"/>
          </w:tcPr>
          <w:p w14:paraId="52D5128B" w14:textId="77777777" w:rsidR="00801199" w:rsidRDefault="00CA7EAD">
            <w:pPr>
              <w:snapToGrid w:val="0"/>
              <w:ind w:left="181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72" w:type="dxa"/>
            <w:vAlign w:val="center"/>
          </w:tcPr>
          <w:p w14:paraId="53355269" w14:textId="77777777" w:rsidR="00801199" w:rsidRDefault="00CA7EAD"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指导教师</w:t>
            </w:r>
          </w:p>
        </w:tc>
        <w:tc>
          <w:tcPr>
            <w:tcW w:w="5739" w:type="dxa"/>
            <w:vAlign w:val="center"/>
          </w:tcPr>
          <w:p w14:paraId="3FA75FE9" w14:textId="77777777" w:rsidR="00801199" w:rsidRDefault="00CA7EAD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职称：讲师及以上          学历（位）：本科及以上</w:t>
            </w:r>
          </w:p>
          <w:p w14:paraId="1317385A" w14:textId="77777777" w:rsidR="00801199" w:rsidRDefault="00CA7EAD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其他：企业工程师</w:t>
            </w:r>
          </w:p>
        </w:tc>
      </w:tr>
      <w:tr w:rsidR="00801199" w14:paraId="4B86745B" w14:textId="77777777" w:rsidTr="006776D7">
        <w:trPr>
          <w:jc w:val="center"/>
        </w:trPr>
        <w:tc>
          <w:tcPr>
            <w:tcW w:w="665" w:type="dxa"/>
            <w:vAlign w:val="center"/>
          </w:tcPr>
          <w:p w14:paraId="40D6AB52" w14:textId="77777777" w:rsidR="00801199" w:rsidRDefault="00CA7EAD">
            <w:pPr>
              <w:snapToGrid w:val="0"/>
              <w:ind w:left="181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72" w:type="dxa"/>
            <w:vAlign w:val="center"/>
          </w:tcPr>
          <w:p w14:paraId="06773824" w14:textId="77777777" w:rsidR="00801199" w:rsidRDefault="00CA7EAD"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课程时间</w:t>
            </w:r>
          </w:p>
        </w:tc>
        <w:tc>
          <w:tcPr>
            <w:tcW w:w="5739" w:type="dxa"/>
            <w:vAlign w:val="center"/>
          </w:tcPr>
          <w:p w14:paraId="26B17E45" w14:textId="77777777" w:rsidR="00801199" w:rsidRDefault="00CA7EAD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周次：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  <w:t>0.5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</w:p>
          <w:p w14:paraId="0245D198" w14:textId="77777777" w:rsidR="00801199" w:rsidRDefault="00CA7EAD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节次：8</w:t>
            </w:r>
          </w:p>
        </w:tc>
      </w:tr>
      <w:tr w:rsidR="00801199" w14:paraId="6C1A6EEB" w14:textId="77777777" w:rsidTr="006776D7">
        <w:trPr>
          <w:jc w:val="center"/>
        </w:trPr>
        <w:tc>
          <w:tcPr>
            <w:tcW w:w="665" w:type="dxa"/>
            <w:vAlign w:val="center"/>
          </w:tcPr>
          <w:p w14:paraId="002AB37D" w14:textId="77777777" w:rsidR="00801199" w:rsidRDefault="00CA7EAD">
            <w:pPr>
              <w:snapToGrid w:val="0"/>
              <w:ind w:left="181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72" w:type="dxa"/>
            <w:vAlign w:val="center"/>
          </w:tcPr>
          <w:p w14:paraId="01346029" w14:textId="77777777" w:rsidR="00801199" w:rsidRDefault="00CA7EAD"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指导地点</w:t>
            </w:r>
          </w:p>
        </w:tc>
        <w:tc>
          <w:tcPr>
            <w:tcW w:w="5739" w:type="dxa"/>
            <w:vAlign w:val="center"/>
          </w:tcPr>
          <w:p w14:paraId="5159BCA4" w14:textId="554A9737" w:rsidR="00801199" w:rsidRDefault="006776D7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sym w:font="Wingdings 2" w:char="F052"/>
            </w:r>
            <w:r w:rsidR="00CA7EAD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教室         □实验室       □室外场地  </w:t>
            </w:r>
          </w:p>
          <w:p w14:paraId="7AA6CD2F" w14:textId="2D242E38" w:rsidR="00801199" w:rsidRDefault="006776D7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sym w:font="Wingdings 2" w:char="F052"/>
            </w:r>
            <w:r w:rsidR="00CA7EAD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其他：企业现场</w:t>
            </w:r>
          </w:p>
        </w:tc>
      </w:tr>
      <w:tr w:rsidR="00801199" w14:paraId="51041157" w14:textId="77777777" w:rsidTr="006776D7">
        <w:trPr>
          <w:jc w:val="center"/>
        </w:trPr>
        <w:tc>
          <w:tcPr>
            <w:tcW w:w="665" w:type="dxa"/>
            <w:vAlign w:val="center"/>
          </w:tcPr>
          <w:p w14:paraId="4D1E2E79" w14:textId="77777777" w:rsidR="00801199" w:rsidRDefault="00CA7EAD">
            <w:pPr>
              <w:snapToGrid w:val="0"/>
              <w:ind w:left="181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72" w:type="dxa"/>
            <w:vAlign w:val="center"/>
          </w:tcPr>
          <w:p w14:paraId="19E9B09A" w14:textId="77777777" w:rsidR="00801199" w:rsidRDefault="00CA7EAD"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学生辅导</w:t>
            </w:r>
          </w:p>
        </w:tc>
        <w:tc>
          <w:tcPr>
            <w:tcW w:w="5739" w:type="dxa"/>
            <w:vAlign w:val="center"/>
          </w:tcPr>
          <w:p w14:paraId="3528B2DA" w14:textId="35C9FE1F" w:rsidR="00801199" w:rsidRDefault="00CA7EAD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线上方式及时间安排：企业微信群通知实习安排</w:t>
            </w:r>
          </w:p>
          <w:p w14:paraId="756223CB" w14:textId="40755E8D" w:rsidR="00801199" w:rsidRDefault="00CA7EAD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线下地点及时间安排：企业现场</w:t>
            </w:r>
            <w:r w:rsidR="00B47173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讲解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和演示</w:t>
            </w:r>
          </w:p>
        </w:tc>
      </w:tr>
    </w:tbl>
    <w:p w14:paraId="241A1458" w14:textId="77777777" w:rsidR="00801199" w:rsidRDefault="00CA7EAD">
      <w:pPr>
        <w:ind w:firstLineChars="150" w:firstLine="42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 xml:space="preserve">  </w:t>
      </w:r>
    </w:p>
    <w:p w14:paraId="57D2B67C" w14:textId="77777777" w:rsidR="00A46F39" w:rsidRDefault="00A46F39" w:rsidP="00A46F39">
      <w:pPr>
        <w:ind w:firstLineChars="150" w:firstLine="42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lastRenderedPageBreak/>
        <w:t>七、选用教材</w:t>
      </w:r>
    </w:p>
    <w:p w14:paraId="72012C80" w14:textId="2BCE9B86" w:rsidR="00A46F39" w:rsidRDefault="00A46F39" w:rsidP="00A46F39">
      <w:pPr>
        <w:spacing w:line="360" w:lineRule="auto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无</w:t>
      </w:r>
    </w:p>
    <w:p w14:paraId="3215204A" w14:textId="77777777" w:rsidR="00A46F39" w:rsidRDefault="00A46F39" w:rsidP="00A46F39">
      <w:pPr>
        <w:ind w:firstLineChars="150" w:firstLine="422"/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6F847F09" w14:textId="77777777" w:rsidR="00A46F39" w:rsidRDefault="00A46F39" w:rsidP="00A46F39">
      <w:pPr>
        <w:ind w:firstLineChars="150" w:firstLine="42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八、参考资料</w:t>
      </w:r>
    </w:p>
    <w:p w14:paraId="779BE477" w14:textId="697706FD" w:rsidR="00A46F39" w:rsidRDefault="00A46F39" w:rsidP="00A46F39">
      <w:pPr>
        <w:spacing w:line="360" w:lineRule="auto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无</w:t>
      </w:r>
    </w:p>
    <w:p w14:paraId="3298A96F" w14:textId="77777777" w:rsidR="00A46F39" w:rsidRDefault="00A46F39" w:rsidP="00A46F39">
      <w:pPr>
        <w:spacing w:line="360" w:lineRule="auto"/>
        <w:ind w:firstLineChars="2750" w:firstLine="5775"/>
        <w:rPr>
          <w:bCs/>
          <w:color w:val="000000" w:themeColor="text1"/>
          <w:sz w:val="21"/>
          <w:szCs w:val="21"/>
        </w:rPr>
      </w:pPr>
    </w:p>
    <w:p w14:paraId="0A0469A3" w14:textId="77777777" w:rsidR="00801199" w:rsidRPr="00A46F39" w:rsidRDefault="00801199">
      <w:pPr>
        <w:spacing w:line="360" w:lineRule="auto"/>
        <w:ind w:firstLineChars="2750" w:firstLine="5775"/>
        <w:rPr>
          <w:bCs/>
          <w:color w:val="000000" w:themeColor="text1"/>
          <w:sz w:val="21"/>
          <w:szCs w:val="21"/>
        </w:rPr>
      </w:pPr>
    </w:p>
    <w:p w14:paraId="66553DE5" w14:textId="77777777" w:rsidR="00801199" w:rsidRDefault="00801199">
      <w:pPr>
        <w:spacing w:line="360" w:lineRule="auto"/>
        <w:ind w:firstLineChars="2750" w:firstLine="5775"/>
        <w:rPr>
          <w:bCs/>
          <w:color w:val="000000" w:themeColor="text1"/>
          <w:sz w:val="21"/>
          <w:szCs w:val="21"/>
        </w:rPr>
      </w:pPr>
    </w:p>
    <w:p w14:paraId="6F34766C" w14:textId="77777777" w:rsidR="00801199" w:rsidRDefault="00CA7EAD">
      <w:pPr>
        <w:spacing w:line="360" w:lineRule="auto"/>
        <w:ind w:firstLineChars="2700" w:firstLine="5670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>大纲执笔人：曹丽娟</w:t>
      </w:r>
    </w:p>
    <w:p w14:paraId="4AAFED38" w14:textId="77777777" w:rsidR="00801199" w:rsidRDefault="00CA7EAD">
      <w:pPr>
        <w:spacing w:line="360" w:lineRule="auto"/>
        <w:ind w:firstLineChars="2700" w:firstLine="5670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>讨论参与人:周杨景、龙允聪</w:t>
      </w:r>
    </w:p>
    <w:p w14:paraId="5A2C4B0B" w14:textId="77777777" w:rsidR="00801199" w:rsidRDefault="00CA7EAD">
      <w:pPr>
        <w:spacing w:line="360" w:lineRule="auto"/>
        <w:ind w:firstLineChars="2700" w:firstLine="5670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>系（教研室）主任：曹丽娟</w:t>
      </w:r>
    </w:p>
    <w:p w14:paraId="7047CCB2" w14:textId="6544422B" w:rsidR="00801199" w:rsidRDefault="00CA7EAD">
      <w:pPr>
        <w:spacing w:line="360" w:lineRule="auto"/>
        <w:ind w:firstLineChars="2700" w:firstLine="5670"/>
      </w:pPr>
      <w:r>
        <w:rPr>
          <w:rFonts w:hint="eastAsia"/>
          <w:bCs/>
          <w:color w:val="000000" w:themeColor="text1"/>
          <w:sz w:val="21"/>
          <w:szCs w:val="21"/>
        </w:rPr>
        <w:t>学院（部）审核人：</w:t>
      </w:r>
      <w:r>
        <w:rPr>
          <w:rFonts w:hint="eastAsia"/>
          <w:b/>
          <w:bCs/>
          <w:color w:val="000000" w:themeColor="text1"/>
          <w:sz w:val="21"/>
          <w:szCs w:val="21"/>
        </w:rPr>
        <w:t xml:space="preserve">          </w:t>
      </w:r>
    </w:p>
    <w:p w14:paraId="0D84B17E" w14:textId="77777777" w:rsidR="00801199" w:rsidRDefault="00801199"/>
    <w:p w14:paraId="3699E6BF" w14:textId="77777777" w:rsidR="00801199" w:rsidRDefault="00801199"/>
    <w:sectPr w:rsidR="0080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203C" w14:textId="77777777" w:rsidR="00E07E07" w:rsidRDefault="00E07E07" w:rsidP="005A3C9F">
      <w:r>
        <w:separator/>
      </w:r>
    </w:p>
  </w:endnote>
  <w:endnote w:type="continuationSeparator" w:id="0">
    <w:p w14:paraId="0E8E8E95" w14:textId="77777777" w:rsidR="00E07E07" w:rsidRDefault="00E07E07" w:rsidP="005A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1DB0" w14:textId="77777777" w:rsidR="00E07E07" w:rsidRDefault="00E07E07" w:rsidP="005A3C9F">
      <w:r>
        <w:separator/>
      </w:r>
    </w:p>
  </w:footnote>
  <w:footnote w:type="continuationSeparator" w:id="0">
    <w:p w14:paraId="360AB32D" w14:textId="77777777" w:rsidR="00E07E07" w:rsidRDefault="00E07E07" w:rsidP="005A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AD7"/>
    <w:multiLevelType w:val="singleLevel"/>
    <w:tmpl w:val="2A6CBC76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FA3635"/>
    <w:rsid w:val="00017450"/>
    <w:rsid w:val="00034391"/>
    <w:rsid w:val="00050F02"/>
    <w:rsid w:val="00054AEC"/>
    <w:rsid w:val="000B03F5"/>
    <w:rsid w:val="00122D45"/>
    <w:rsid w:val="001566B9"/>
    <w:rsid w:val="00166ACA"/>
    <w:rsid w:val="00203768"/>
    <w:rsid w:val="002C761B"/>
    <w:rsid w:val="003231C3"/>
    <w:rsid w:val="00351A95"/>
    <w:rsid w:val="003748ED"/>
    <w:rsid w:val="003C3CC2"/>
    <w:rsid w:val="003D0167"/>
    <w:rsid w:val="003D2D37"/>
    <w:rsid w:val="003D5059"/>
    <w:rsid w:val="00437297"/>
    <w:rsid w:val="00464EF7"/>
    <w:rsid w:val="004A0A24"/>
    <w:rsid w:val="004C547D"/>
    <w:rsid w:val="00547703"/>
    <w:rsid w:val="00583213"/>
    <w:rsid w:val="005A3C9F"/>
    <w:rsid w:val="005E4871"/>
    <w:rsid w:val="005F04FA"/>
    <w:rsid w:val="005F094C"/>
    <w:rsid w:val="00673D81"/>
    <w:rsid w:val="006776D7"/>
    <w:rsid w:val="006B7E57"/>
    <w:rsid w:val="006D30A9"/>
    <w:rsid w:val="0070341A"/>
    <w:rsid w:val="007220DB"/>
    <w:rsid w:val="0074264F"/>
    <w:rsid w:val="00801199"/>
    <w:rsid w:val="00863BA7"/>
    <w:rsid w:val="00873C25"/>
    <w:rsid w:val="008923C8"/>
    <w:rsid w:val="00895716"/>
    <w:rsid w:val="008D093B"/>
    <w:rsid w:val="009F4658"/>
    <w:rsid w:val="00A46F39"/>
    <w:rsid w:val="00AE22C0"/>
    <w:rsid w:val="00AE53E9"/>
    <w:rsid w:val="00B14205"/>
    <w:rsid w:val="00B47173"/>
    <w:rsid w:val="00BA0EE3"/>
    <w:rsid w:val="00BB3C84"/>
    <w:rsid w:val="00BD458C"/>
    <w:rsid w:val="00C25118"/>
    <w:rsid w:val="00CA7EAD"/>
    <w:rsid w:val="00D37F58"/>
    <w:rsid w:val="00DA6FE5"/>
    <w:rsid w:val="00DB52F6"/>
    <w:rsid w:val="00DE243B"/>
    <w:rsid w:val="00E05849"/>
    <w:rsid w:val="00E07E07"/>
    <w:rsid w:val="00E80941"/>
    <w:rsid w:val="00ED1C47"/>
    <w:rsid w:val="00F2669B"/>
    <w:rsid w:val="00F405DF"/>
    <w:rsid w:val="3A1E67A3"/>
    <w:rsid w:val="3EFA3635"/>
    <w:rsid w:val="52BB3C67"/>
    <w:rsid w:val="5DFE0BFB"/>
    <w:rsid w:val="5F8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A7D35"/>
  <w15:docId w15:val="{1F2A1EE2-BFA1-422A-9772-87F188C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qFormat/>
    <w:rPr>
      <w:sz w:val="21"/>
      <w:szCs w:val="21"/>
    </w:rPr>
  </w:style>
  <w:style w:type="paragraph" w:customStyle="1" w:styleId="ab">
    <w:name w:val="论文规范一级标题"/>
    <w:basedOn w:val="a8"/>
    <w:qFormat/>
    <w:pPr>
      <w:autoSpaceDE/>
      <w:autoSpaceDN/>
      <w:spacing w:before="0" w:after="0"/>
    </w:pPr>
    <w:rPr>
      <w:rFonts w:ascii="Cambria" w:eastAsiaTheme="minorEastAsia" w:hAnsi="Cambria" w:cstheme="minorBidi"/>
      <w:kern w:val="2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</w:rPr>
  </w:style>
  <w:style w:type="character" w:customStyle="1" w:styleId="a5">
    <w:name w:val="页脚 字符"/>
    <w:basedOn w:val="a0"/>
    <w:link w:val="a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E225F8-E8F4-4739-87A4-FED56785D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4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Zhang Lihong</cp:lastModifiedBy>
  <cp:revision>23</cp:revision>
  <dcterms:created xsi:type="dcterms:W3CDTF">2021-12-06T09:11:00Z</dcterms:created>
  <dcterms:modified xsi:type="dcterms:W3CDTF">2022-03-07T08:49:00Z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AE415965155E408BB9AB68C404143BC8</vt:lpwstr>
  </property>
</Properties>
</file>